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86MS0061-01-2024-001817-40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405,</w:t>
      </w:r>
    </w:p>
    <w:p>
      <w:pPr>
        <w:spacing w:before="0" w:after="0"/>
        <w:ind w:right="21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 1 ст. 20.25 КоАП 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Васильков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Юли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Николаевн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2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зарегистрированн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Style w:val="cat-UserDefinedgrp-33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1rplc-12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31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работающей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</w:t>
      </w:r>
      <w:r>
        <w:rPr>
          <w:rFonts w:ascii="Times New Roman" w:eastAsia="Times New Roman" w:hAnsi="Times New Roman" w:cs="Times New Roman"/>
          <w:sz w:val="27"/>
          <w:szCs w:val="27"/>
        </w:rPr>
        <w:t>ейся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Василькова Ю.Н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адресу: </w:t>
      </w:r>
      <w:r>
        <w:rPr>
          <w:rStyle w:val="cat-UserDefinedgrp-34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13.11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18.07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силу </w:t>
      </w:r>
      <w:r>
        <w:rPr>
          <w:rFonts w:ascii="Times New Roman" w:eastAsia="Times New Roman" w:hAnsi="Times New Roman" w:cs="Times New Roman"/>
          <w:sz w:val="27"/>
          <w:szCs w:val="27"/>
        </w:rPr>
        <w:t>12.09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Василькова Ю.Н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будучи извещенн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судебного разбирательства в суд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, просила рассмотреть дело в ее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>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Васильков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2-0609-24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копией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18.07.2023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назначе</w:t>
      </w:r>
      <w:r>
        <w:rPr>
          <w:rFonts w:ascii="Times New Roman" w:eastAsia="Times New Roman" w:hAnsi="Times New Roman" w:cs="Times New Roman"/>
          <w:sz w:val="27"/>
          <w:szCs w:val="27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Васильков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полностью доказанной.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Васильков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бстоятельств, предусмотренных ст. 4.2 КоАП РФ, смягчающих административную ответственность,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усматривает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Васильков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Юли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Николаевн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четыре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7"/>
          <w:szCs w:val="27"/>
        </w:rPr>
        <w:t>0412365400615005002420176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ХМАО-Югры в течение 10 суток с момента получения копии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500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7">
    <w:name w:val="cat-ExternalSystemDefined grp-32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31rplc-14">
    <w:name w:val="cat-ExternalSystemDefined grp-31 rplc-14"/>
    <w:basedOn w:val="DefaultParagraphFont"/>
  </w:style>
  <w:style w:type="character" w:customStyle="1" w:styleId="cat-UserDefinedgrp-34rplc-16">
    <w:name w:val="cat-UserDefined grp-34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